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578A" w14:textId="1B490669" w:rsidR="00E874D0" w:rsidRPr="004A082B" w:rsidRDefault="00FB6543" w:rsidP="00276F8E">
      <w:r>
        <w:rPr>
          <w:rFonts w:ascii="Times New Roman"/>
          <w:noProof/>
          <w:sz w:val="20"/>
        </w:rPr>
        <w:drawing>
          <wp:inline distT="0" distB="0" distL="0" distR="0" wp14:anchorId="5B879E71" wp14:editId="6E37C361">
            <wp:extent cx="2130425" cy="387110"/>
            <wp:effectExtent l="0" t="0" r="3175" b="0"/>
            <wp:docPr id="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Text&#10;&#10;Description automatically generated"/>
                    <pic:cNvPicPr/>
                  </pic:nvPicPr>
                  <pic:blipFill>
                    <a:blip r:embed="rId8" cstate="print"/>
                    <a:stretch>
                      <a:fillRect/>
                    </a:stretch>
                  </pic:blipFill>
                  <pic:spPr>
                    <a:xfrm>
                      <a:off x="0" y="0"/>
                      <a:ext cx="2165942" cy="393564"/>
                    </a:xfrm>
                    <a:prstGeom prst="rect">
                      <a:avLst/>
                    </a:prstGeom>
                  </pic:spPr>
                </pic:pic>
              </a:graphicData>
            </a:graphic>
          </wp:inline>
        </w:drawing>
      </w:r>
    </w:p>
    <w:p w14:paraId="3E547E2B" w14:textId="620E870F" w:rsidR="00235A23" w:rsidRPr="00276F8E" w:rsidRDefault="00235A23" w:rsidP="00276F8E">
      <w:pPr>
        <w:pStyle w:val="Heading1"/>
        <w:rPr>
          <w:rFonts w:ascii="Adobe Caslon Pro" w:eastAsiaTheme="minorHAnsi" w:hAnsi="Adobe Caslon Pro" w:cs="Times New Roman"/>
          <w:b/>
          <w:bCs/>
          <w:color w:val="1F3864" w:themeColor="accent1" w:themeShade="80"/>
        </w:rPr>
      </w:pPr>
      <w:r w:rsidRPr="00276F8E">
        <w:rPr>
          <w:rFonts w:ascii="Adobe Caslon Pro" w:eastAsiaTheme="minorHAnsi" w:hAnsi="Adobe Caslon Pro" w:cs="Times New Roman"/>
          <w:b/>
          <w:bCs/>
          <w:color w:val="1F3864" w:themeColor="accent1" w:themeShade="80"/>
        </w:rPr>
        <w:t>Tragedy and Policy Change: Expanding Access to Oral Health Care for Children in Maryland</w:t>
      </w:r>
      <w:r w:rsidR="00FB6543" w:rsidRPr="00276F8E">
        <w:rPr>
          <w:rFonts w:ascii="Adobe Caslon Pro" w:eastAsiaTheme="minorHAnsi" w:hAnsi="Adobe Caslon Pro" w:cs="Times New Roman"/>
          <w:b/>
          <w:bCs/>
          <w:color w:val="1F3864" w:themeColor="accent1" w:themeShade="80"/>
        </w:rPr>
        <w:t>: Teaching Note</w:t>
      </w:r>
      <w:r w:rsidR="00FB6543" w:rsidRPr="00276F8E">
        <w:rPr>
          <w:rStyle w:val="FootnoteReference"/>
          <w:rFonts w:ascii="Adobe Caslon Pro" w:eastAsiaTheme="minorHAnsi" w:hAnsi="Adobe Caslon Pro" w:cs="Times New Roman"/>
          <w:b/>
          <w:bCs/>
          <w:color w:val="1F3864" w:themeColor="accent1" w:themeShade="80"/>
        </w:rPr>
        <w:footnoteReference w:id="1"/>
      </w:r>
    </w:p>
    <w:p w14:paraId="13E8D4CB" w14:textId="66382E16" w:rsidR="00235A23" w:rsidRPr="004A082B" w:rsidRDefault="00235A23" w:rsidP="00235A23">
      <w:pPr>
        <w:rPr>
          <w:rFonts w:cstheme="minorHAnsi"/>
        </w:rPr>
      </w:pPr>
    </w:p>
    <w:p w14:paraId="144CE0A1" w14:textId="6704ED0A" w:rsidR="00235A23" w:rsidRPr="00276F8E" w:rsidRDefault="00235A23" w:rsidP="00235A23">
      <w:pPr>
        <w:rPr>
          <w:rFonts w:ascii="Adobe Caslon Pro" w:hAnsi="Adobe Caslon Pro" w:cs="Times New Roman"/>
          <w:sz w:val="22"/>
          <w:szCs w:val="22"/>
        </w:rPr>
      </w:pPr>
      <w:r w:rsidRPr="00276F8E">
        <w:rPr>
          <w:rFonts w:ascii="Adobe Caslon Pro" w:hAnsi="Adobe Caslon Pro" w:cs="Times New Roman"/>
          <w:sz w:val="22"/>
          <w:szCs w:val="22"/>
        </w:rPr>
        <w:t xml:space="preserve">This case study describes the evolution of access to oral health care in Maryland over the course of two decades. Over time, policymakers worked to significantly expand access </w:t>
      </w:r>
      <w:r w:rsidR="00962326" w:rsidRPr="00276F8E">
        <w:rPr>
          <w:rFonts w:ascii="Adobe Caslon Pro" w:hAnsi="Adobe Caslon Pro" w:cs="Times New Roman"/>
          <w:sz w:val="22"/>
          <w:szCs w:val="22"/>
        </w:rPr>
        <w:t>for</w:t>
      </w:r>
      <w:r w:rsidRPr="00276F8E">
        <w:rPr>
          <w:rFonts w:ascii="Adobe Caslon Pro" w:hAnsi="Adobe Caslon Pro" w:cs="Times New Roman"/>
          <w:sz w:val="22"/>
          <w:szCs w:val="22"/>
        </w:rPr>
        <w:t xml:space="preserve"> families with lower incomes. </w:t>
      </w:r>
      <w:r w:rsidR="00076032" w:rsidRPr="00276F8E">
        <w:rPr>
          <w:rFonts w:ascii="Adobe Caslon Pro" w:hAnsi="Adobe Caslon Pro" w:cs="Times New Roman"/>
          <w:sz w:val="22"/>
          <w:szCs w:val="22"/>
        </w:rPr>
        <w:t xml:space="preserve">The death of twelve-year-old </w:t>
      </w:r>
      <w:proofErr w:type="spellStart"/>
      <w:r w:rsidR="00076032" w:rsidRPr="00276F8E">
        <w:rPr>
          <w:rFonts w:ascii="Adobe Caslon Pro" w:hAnsi="Adobe Caslon Pro" w:cs="Times New Roman"/>
          <w:sz w:val="22"/>
          <w:szCs w:val="22"/>
        </w:rPr>
        <w:t>Deamonte</w:t>
      </w:r>
      <w:proofErr w:type="spellEnd"/>
      <w:r w:rsidR="00076032" w:rsidRPr="00276F8E">
        <w:rPr>
          <w:rFonts w:ascii="Adobe Caslon Pro" w:hAnsi="Adobe Caslon Pro" w:cs="Times New Roman"/>
          <w:sz w:val="22"/>
          <w:szCs w:val="22"/>
        </w:rPr>
        <w:t xml:space="preserve"> Driver from untreated tooth decay in 2007 as a result of not being able to receive timely dental care in particular ignited momentum and many policy reforms. </w:t>
      </w:r>
      <w:r w:rsidRPr="00276F8E">
        <w:rPr>
          <w:rFonts w:ascii="Adobe Caslon Pro" w:hAnsi="Adobe Caslon Pro" w:cs="Times New Roman"/>
          <w:sz w:val="22"/>
          <w:szCs w:val="22"/>
        </w:rPr>
        <w:t xml:space="preserve">These policy actions included both </w:t>
      </w:r>
      <w:r w:rsidR="00D81ED7" w:rsidRPr="00276F8E">
        <w:rPr>
          <w:rFonts w:ascii="Adobe Caslon Pro" w:hAnsi="Adobe Caslon Pro" w:cs="Times New Roman"/>
          <w:sz w:val="22"/>
          <w:szCs w:val="22"/>
        </w:rPr>
        <w:t xml:space="preserve">increasing the reach of policy and seeking to reduce </w:t>
      </w:r>
      <w:r w:rsidR="00076032" w:rsidRPr="00276F8E">
        <w:rPr>
          <w:rFonts w:ascii="Adobe Caslon Pro" w:hAnsi="Adobe Caslon Pro" w:cs="Times New Roman"/>
          <w:sz w:val="22"/>
          <w:szCs w:val="22"/>
        </w:rPr>
        <w:t xml:space="preserve">administrative </w:t>
      </w:r>
      <w:r w:rsidR="00D81ED7" w:rsidRPr="00276F8E">
        <w:rPr>
          <w:rFonts w:ascii="Adobe Caslon Pro" w:hAnsi="Adobe Caslon Pro" w:cs="Times New Roman"/>
          <w:sz w:val="22"/>
          <w:szCs w:val="22"/>
        </w:rPr>
        <w:t xml:space="preserve">burdens. </w:t>
      </w:r>
    </w:p>
    <w:p w14:paraId="1DC053CB" w14:textId="765B6311" w:rsidR="00D81ED7" w:rsidRPr="00276F8E" w:rsidRDefault="00D81ED7" w:rsidP="00235A23">
      <w:pPr>
        <w:rPr>
          <w:rFonts w:ascii="Adobe Caslon Pro" w:hAnsi="Adobe Caslon Pro" w:cs="Times New Roman"/>
          <w:sz w:val="22"/>
          <w:szCs w:val="22"/>
        </w:rPr>
      </w:pPr>
    </w:p>
    <w:p w14:paraId="2AF47897" w14:textId="30416C9A" w:rsidR="00D81ED7" w:rsidRPr="00276F8E" w:rsidRDefault="00D81ED7" w:rsidP="00235A23">
      <w:pPr>
        <w:rPr>
          <w:rFonts w:ascii="Adobe Caslon Pro" w:hAnsi="Adobe Caslon Pro" w:cs="Times New Roman"/>
          <w:sz w:val="22"/>
          <w:szCs w:val="22"/>
        </w:rPr>
      </w:pPr>
      <w:r w:rsidRPr="00276F8E">
        <w:rPr>
          <w:rFonts w:ascii="Adobe Caslon Pro" w:hAnsi="Adobe Caslon Pro" w:cs="Times New Roman"/>
          <w:sz w:val="22"/>
          <w:szCs w:val="22"/>
        </w:rPr>
        <w:t xml:space="preserve">Teaching the case allows </w:t>
      </w:r>
      <w:r w:rsidR="00076032" w:rsidRPr="00276F8E">
        <w:rPr>
          <w:rFonts w:ascii="Adobe Caslon Pro" w:hAnsi="Adobe Caslon Pro" w:cs="Times New Roman"/>
          <w:sz w:val="22"/>
          <w:szCs w:val="22"/>
        </w:rPr>
        <w:t xml:space="preserve">for </w:t>
      </w:r>
      <w:r w:rsidRPr="00276F8E">
        <w:rPr>
          <w:rFonts w:ascii="Adobe Caslon Pro" w:hAnsi="Adobe Caslon Pro" w:cs="Times New Roman"/>
          <w:sz w:val="22"/>
          <w:szCs w:val="22"/>
        </w:rPr>
        <w:t xml:space="preserve">discussion of </w:t>
      </w:r>
      <w:proofErr w:type="gramStart"/>
      <w:r w:rsidRPr="00276F8E">
        <w:rPr>
          <w:rFonts w:ascii="Adobe Caslon Pro" w:hAnsi="Adobe Caslon Pro" w:cs="Times New Roman"/>
          <w:sz w:val="22"/>
          <w:szCs w:val="22"/>
        </w:rPr>
        <w:t>a number of</w:t>
      </w:r>
      <w:proofErr w:type="gramEnd"/>
      <w:r w:rsidRPr="00276F8E">
        <w:rPr>
          <w:rFonts w:ascii="Adobe Caslon Pro" w:hAnsi="Adobe Caslon Pro" w:cs="Times New Roman"/>
          <w:sz w:val="22"/>
          <w:szCs w:val="22"/>
        </w:rPr>
        <w:t xml:space="preserve"> factors</w:t>
      </w:r>
      <w:r w:rsidR="006A7935" w:rsidRPr="00276F8E">
        <w:rPr>
          <w:rFonts w:ascii="Adobe Caslon Pro" w:hAnsi="Adobe Caslon Pro" w:cs="Times New Roman"/>
          <w:sz w:val="22"/>
          <w:szCs w:val="22"/>
        </w:rPr>
        <w:t xml:space="preserve"> about administrative burdens</w:t>
      </w:r>
      <w:r w:rsidRPr="00276F8E">
        <w:rPr>
          <w:rFonts w:ascii="Adobe Caslon Pro" w:hAnsi="Adobe Caslon Pro" w:cs="Times New Roman"/>
          <w:sz w:val="22"/>
          <w:szCs w:val="22"/>
        </w:rPr>
        <w:t>:</w:t>
      </w:r>
    </w:p>
    <w:p w14:paraId="7E4CAAAF" w14:textId="26F55D20" w:rsidR="00D81ED7" w:rsidRPr="00276F8E" w:rsidRDefault="00D81ED7" w:rsidP="00D81ED7">
      <w:pPr>
        <w:pStyle w:val="ListParagraph"/>
        <w:numPr>
          <w:ilvl w:val="0"/>
          <w:numId w:val="1"/>
        </w:numPr>
        <w:rPr>
          <w:rFonts w:ascii="Adobe Caslon Pro" w:hAnsi="Adobe Caslon Pro" w:cs="Times New Roman"/>
          <w:sz w:val="22"/>
          <w:szCs w:val="22"/>
        </w:rPr>
      </w:pPr>
      <w:r w:rsidRPr="00276F8E">
        <w:rPr>
          <w:rFonts w:ascii="Adobe Caslon Pro" w:hAnsi="Adobe Caslon Pro" w:cs="Times New Roman"/>
          <w:sz w:val="22"/>
          <w:szCs w:val="22"/>
        </w:rPr>
        <w:t xml:space="preserve">Access to public services is not just about being eligible, it is also about administrative burdens: </w:t>
      </w:r>
      <w:proofErr w:type="spellStart"/>
      <w:r w:rsidR="00076032" w:rsidRPr="00276F8E">
        <w:rPr>
          <w:rFonts w:ascii="Adobe Caslon Pro" w:hAnsi="Adobe Caslon Pro" w:cs="Times New Roman"/>
          <w:sz w:val="22"/>
          <w:szCs w:val="22"/>
        </w:rPr>
        <w:t>Deamonte</w:t>
      </w:r>
      <w:proofErr w:type="spellEnd"/>
      <w:r w:rsidR="00076032" w:rsidRPr="00276F8E">
        <w:rPr>
          <w:rFonts w:ascii="Adobe Caslon Pro" w:hAnsi="Adobe Caslon Pro" w:cs="Times New Roman"/>
          <w:sz w:val="22"/>
          <w:szCs w:val="22"/>
        </w:rPr>
        <w:t xml:space="preserve"> </w:t>
      </w:r>
      <w:r w:rsidRPr="00276F8E">
        <w:rPr>
          <w:rFonts w:ascii="Adobe Caslon Pro" w:hAnsi="Adobe Caslon Pro" w:cs="Times New Roman"/>
          <w:sz w:val="22"/>
          <w:szCs w:val="22"/>
        </w:rPr>
        <w:t xml:space="preserve">Driver’s family was covered by insurance when </w:t>
      </w:r>
      <w:r w:rsidR="007904D8" w:rsidRPr="00276F8E">
        <w:rPr>
          <w:rFonts w:ascii="Adobe Caslon Pro" w:hAnsi="Adobe Caslon Pro" w:cs="Times New Roman"/>
          <w:sz w:val="22"/>
          <w:szCs w:val="22"/>
        </w:rPr>
        <w:t xml:space="preserve">oral </w:t>
      </w:r>
      <w:r w:rsidRPr="00276F8E">
        <w:rPr>
          <w:rFonts w:ascii="Adobe Caslon Pro" w:hAnsi="Adobe Caslon Pro" w:cs="Times New Roman"/>
          <w:sz w:val="22"/>
          <w:szCs w:val="22"/>
        </w:rPr>
        <w:t>health problems emerged. But the complexity of the system stymied them. They had to seek professional help to negotiate the system.</w:t>
      </w:r>
      <w:r w:rsidR="00517C62" w:rsidRPr="00276F8E">
        <w:rPr>
          <w:rFonts w:ascii="Adobe Caslon Pro" w:hAnsi="Adobe Caslon Pro" w:cs="Times New Roman"/>
          <w:sz w:val="22"/>
          <w:szCs w:val="22"/>
        </w:rPr>
        <w:t xml:space="preserve"> A salient question is to ask students to put themselves into the position of the mother: why was it so difficult for her to find care? This </w:t>
      </w:r>
      <w:r w:rsidR="007904D8" w:rsidRPr="00276F8E">
        <w:rPr>
          <w:rFonts w:ascii="Adobe Caslon Pro" w:hAnsi="Adobe Caslon Pro" w:cs="Times New Roman"/>
          <w:sz w:val="22"/>
          <w:szCs w:val="22"/>
        </w:rPr>
        <w:t>generates discussion of</w:t>
      </w:r>
      <w:r w:rsidR="00517C62" w:rsidRPr="00276F8E">
        <w:rPr>
          <w:rFonts w:ascii="Adobe Caslon Pro" w:hAnsi="Adobe Caslon Pro" w:cs="Times New Roman"/>
          <w:sz w:val="22"/>
          <w:szCs w:val="22"/>
        </w:rPr>
        <w:t xml:space="preserve"> resources and support</w:t>
      </w:r>
      <w:r w:rsidR="007904D8" w:rsidRPr="00276F8E">
        <w:rPr>
          <w:rFonts w:ascii="Adobe Caslon Pro" w:hAnsi="Adobe Caslon Pro" w:cs="Times New Roman"/>
          <w:sz w:val="22"/>
          <w:szCs w:val="22"/>
        </w:rPr>
        <w:t xml:space="preserve">, and how feasible it is for families with low income and housing instability to negotiate complicated administrative processes. </w:t>
      </w:r>
    </w:p>
    <w:p w14:paraId="0FE55CE8" w14:textId="28E94F24" w:rsidR="00D81ED7" w:rsidRPr="00276F8E" w:rsidRDefault="00D81ED7" w:rsidP="00D81ED7">
      <w:pPr>
        <w:pStyle w:val="ListParagraph"/>
        <w:numPr>
          <w:ilvl w:val="0"/>
          <w:numId w:val="1"/>
        </w:numPr>
        <w:rPr>
          <w:rFonts w:ascii="Adobe Caslon Pro" w:hAnsi="Adobe Caslon Pro" w:cs="Times New Roman"/>
          <w:sz w:val="22"/>
          <w:szCs w:val="22"/>
        </w:rPr>
      </w:pPr>
      <w:r w:rsidRPr="00276F8E">
        <w:rPr>
          <w:rFonts w:ascii="Adobe Caslon Pro" w:hAnsi="Adobe Caslon Pro" w:cs="Times New Roman"/>
          <w:sz w:val="22"/>
          <w:szCs w:val="22"/>
        </w:rPr>
        <w:t xml:space="preserve">Churn on and off programs is a big problem: Public welfare programs usually require frequent re-enrollment processes, often every six or twelve months. During these times recipients must establish that they want benefits, and demonstrate they are still eligible. </w:t>
      </w:r>
      <w:r w:rsidR="006A7935" w:rsidRPr="00276F8E">
        <w:rPr>
          <w:rFonts w:ascii="Adobe Caslon Pro" w:hAnsi="Adobe Caslon Pro" w:cs="Times New Roman"/>
          <w:sz w:val="22"/>
          <w:szCs w:val="22"/>
        </w:rPr>
        <w:t xml:space="preserve">They often lose coverage because of burdens in re-enrolling. In this case, </w:t>
      </w:r>
      <w:proofErr w:type="spellStart"/>
      <w:r w:rsidR="006A7935" w:rsidRPr="00276F8E">
        <w:rPr>
          <w:rFonts w:ascii="Adobe Caslon Pro" w:hAnsi="Adobe Caslon Pro" w:cs="Times New Roman"/>
          <w:sz w:val="22"/>
          <w:szCs w:val="22"/>
        </w:rPr>
        <w:t>Deamonte</w:t>
      </w:r>
      <w:proofErr w:type="spellEnd"/>
      <w:r w:rsidR="006A7935" w:rsidRPr="00276F8E">
        <w:rPr>
          <w:rFonts w:ascii="Adobe Caslon Pro" w:hAnsi="Adobe Caslon Pro" w:cs="Times New Roman"/>
          <w:sz w:val="22"/>
          <w:szCs w:val="22"/>
        </w:rPr>
        <w:t xml:space="preserve"> Driver died due to a lapse in coverage. The family never received forms that were probably sent to an old address. How might this have been prevented?</w:t>
      </w:r>
      <w:r w:rsidRPr="00276F8E">
        <w:rPr>
          <w:rFonts w:ascii="Adobe Caslon Pro" w:hAnsi="Adobe Caslon Pro" w:cs="Times New Roman"/>
          <w:sz w:val="22"/>
          <w:szCs w:val="22"/>
        </w:rPr>
        <w:t xml:space="preserve"> </w:t>
      </w:r>
      <w:r w:rsidR="007904D8" w:rsidRPr="00276F8E">
        <w:rPr>
          <w:rFonts w:ascii="Adobe Caslon Pro" w:hAnsi="Adobe Caslon Pro" w:cs="Times New Roman"/>
          <w:sz w:val="22"/>
          <w:szCs w:val="22"/>
        </w:rPr>
        <w:t xml:space="preserve">This discussion should direct student attention to how state actors might think about administrative processes from the perspectives of the public. </w:t>
      </w:r>
    </w:p>
    <w:p w14:paraId="5B257416" w14:textId="471D38AB" w:rsidR="00D81ED7" w:rsidRPr="00276F8E" w:rsidRDefault="006A7935" w:rsidP="00D81ED7">
      <w:pPr>
        <w:pStyle w:val="ListParagraph"/>
        <w:numPr>
          <w:ilvl w:val="0"/>
          <w:numId w:val="1"/>
        </w:numPr>
        <w:rPr>
          <w:rFonts w:ascii="Adobe Caslon Pro" w:hAnsi="Adobe Caslon Pro" w:cs="Times New Roman"/>
          <w:sz w:val="22"/>
          <w:szCs w:val="22"/>
        </w:rPr>
      </w:pPr>
      <w:r w:rsidRPr="00276F8E">
        <w:rPr>
          <w:rFonts w:ascii="Adobe Caslon Pro" w:hAnsi="Adobe Caslon Pro" w:cs="Times New Roman"/>
          <w:sz w:val="22"/>
          <w:szCs w:val="22"/>
        </w:rPr>
        <w:t xml:space="preserve">Burdens are a matter both for providers and users: One reason there remains spotty coverage of oral health is that Medicaid reimbursement rates are below what dental providers normally accept. But they also come with lots of administrative requirements that some providers don’t want to deal with (see Table 2). Understanding the perspective of the providers and reducing </w:t>
      </w:r>
      <w:r w:rsidRPr="00276F8E">
        <w:rPr>
          <w:rFonts w:ascii="Adobe Caslon Pro" w:hAnsi="Adobe Caslon Pro" w:cs="Times New Roman"/>
          <w:sz w:val="22"/>
          <w:szCs w:val="22"/>
        </w:rPr>
        <w:lastRenderedPageBreak/>
        <w:t>their burdens is a key part of ensuring enough providers will be available to help families.</w:t>
      </w:r>
      <w:r w:rsidR="007904D8" w:rsidRPr="00276F8E">
        <w:rPr>
          <w:rFonts w:ascii="Adobe Caslon Pro" w:hAnsi="Adobe Caslon Pro" w:cs="Times New Roman"/>
          <w:sz w:val="22"/>
          <w:szCs w:val="22"/>
        </w:rPr>
        <w:t xml:space="preserve"> This point should push students to consider how many public services, especially in health, are provided through third-party actors.</w:t>
      </w:r>
      <w:r w:rsidR="004A082B" w:rsidRPr="00276F8E">
        <w:rPr>
          <w:rFonts w:ascii="Adobe Caslon Pro" w:hAnsi="Adobe Caslon Pro" w:cs="Times New Roman"/>
          <w:sz w:val="22"/>
          <w:szCs w:val="22"/>
        </w:rPr>
        <w:t xml:space="preserve"> Providers can also serve as a source of burdens for the public. In this case the Driver family, and those helping them, had to navigate not just the state Medicaid agency, but also the managed care organization system. This fragmentation of providers makes the user journey more complex for the public. </w:t>
      </w:r>
      <w:r w:rsidR="007904D8" w:rsidRPr="00276F8E">
        <w:rPr>
          <w:rFonts w:ascii="Adobe Caslon Pro" w:hAnsi="Adobe Caslon Pro" w:cs="Times New Roman"/>
          <w:sz w:val="22"/>
          <w:szCs w:val="22"/>
        </w:rPr>
        <w:t xml:space="preserve"> </w:t>
      </w:r>
    </w:p>
    <w:p w14:paraId="15905F7A" w14:textId="24219445" w:rsidR="006A7935" w:rsidRPr="00276F8E" w:rsidRDefault="006A7935" w:rsidP="006A7935">
      <w:pPr>
        <w:rPr>
          <w:rFonts w:ascii="Adobe Caslon Pro" w:hAnsi="Adobe Caslon Pro" w:cs="Times New Roman"/>
          <w:sz w:val="22"/>
          <w:szCs w:val="22"/>
        </w:rPr>
      </w:pPr>
    </w:p>
    <w:p w14:paraId="3741F3B5" w14:textId="79BBF923" w:rsidR="006A7935" w:rsidRPr="00276F8E" w:rsidRDefault="00D851A8" w:rsidP="006A7935">
      <w:pPr>
        <w:rPr>
          <w:rFonts w:ascii="Adobe Caslon Pro" w:hAnsi="Adobe Caslon Pro" w:cs="Times New Roman"/>
          <w:sz w:val="22"/>
          <w:szCs w:val="22"/>
        </w:rPr>
      </w:pPr>
      <w:r w:rsidRPr="00276F8E">
        <w:rPr>
          <w:rFonts w:ascii="Adobe Caslon Pro" w:hAnsi="Adobe Caslon Pro" w:cs="Times New Roman"/>
          <w:sz w:val="22"/>
          <w:szCs w:val="22"/>
        </w:rPr>
        <w:t xml:space="preserve">The case study also offers an example of how policy change happens. In this case, the tragic death of a child </w:t>
      </w:r>
      <w:r w:rsidR="00517C62" w:rsidRPr="00276F8E">
        <w:rPr>
          <w:rFonts w:ascii="Adobe Caslon Pro" w:hAnsi="Adobe Caslon Pro" w:cs="Times New Roman"/>
          <w:sz w:val="22"/>
          <w:szCs w:val="22"/>
        </w:rPr>
        <w:t xml:space="preserve">made salient an ongoing policy problem. In this respect, the case offers a classic example of a high-profile event opening a policy window for change. It is obvious for students to focus on the tragedy, but the case also provides details of policy innovations happening before the child’s death. Some of these changes were minor, but once the policy window opened, a group of stakeholders had ideas ready to go. </w:t>
      </w:r>
    </w:p>
    <w:p w14:paraId="3B51AE86" w14:textId="47A1196E" w:rsidR="00517C62" w:rsidRPr="00276F8E" w:rsidRDefault="00517C62" w:rsidP="006A7935">
      <w:pPr>
        <w:rPr>
          <w:rFonts w:ascii="Adobe Caslon Pro" w:hAnsi="Adobe Caslon Pro" w:cs="Times New Roman"/>
          <w:sz w:val="22"/>
          <w:szCs w:val="22"/>
        </w:rPr>
      </w:pPr>
    </w:p>
    <w:p w14:paraId="0A596722" w14:textId="19818E8C" w:rsidR="00517C62" w:rsidRPr="00276F8E" w:rsidRDefault="00517C62" w:rsidP="00517C62">
      <w:pPr>
        <w:rPr>
          <w:rFonts w:ascii="Adobe Caslon Pro" w:hAnsi="Adobe Caslon Pro" w:cs="Times New Roman"/>
          <w:sz w:val="22"/>
          <w:szCs w:val="22"/>
        </w:rPr>
      </w:pPr>
      <w:r w:rsidRPr="00276F8E">
        <w:rPr>
          <w:rFonts w:ascii="Adobe Caslon Pro" w:hAnsi="Adobe Caslon Pro" w:cs="Times New Roman"/>
          <w:sz w:val="22"/>
          <w:szCs w:val="22"/>
        </w:rPr>
        <w:t xml:space="preserve">The pattern of incremental policymaking continued years after the tragedy, after the focus of the media have moved on. This point underlines that such tragedies can motivate immediate </w:t>
      </w:r>
      <w:proofErr w:type="gramStart"/>
      <w:r w:rsidRPr="00276F8E">
        <w:rPr>
          <w:rFonts w:ascii="Adobe Caslon Pro" w:hAnsi="Adobe Caslon Pro" w:cs="Times New Roman"/>
          <w:sz w:val="22"/>
          <w:szCs w:val="22"/>
        </w:rPr>
        <w:t>change, but</w:t>
      </w:r>
      <w:proofErr w:type="gramEnd"/>
      <w:r w:rsidRPr="00276F8E">
        <w:rPr>
          <w:rFonts w:ascii="Adobe Caslon Pro" w:hAnsi="Adobe Caslon Pro" w:cs="Times New Roman"/>
          <w:sz w:val="22"/>
          <w:szCs w:val="22"/>
        </w:rPr>
        <w:t xml:space="preserve"> raise</w:t>
      </w:r>
      <w:r w:rsidR="00076032" w:rsidRPr="00276F8E">
        <w:rPr>
          <w:rFonts w:ascii="Adobe Caslon Pro" w:hAnsi="Adobe Caslon Pro" w:cs="Times New Roman"/>
          <w:sz w:val="22"/>
          <w:szCs w:val="22"/>
        </w:rPr>
        <w:t>s</w:t>
      </w:r>
      <w:r w:rsidRPr="00276F8E">
        <w:rPr>
          <w:rFonts w:ascii="Adobe Caslon Pro" w:hAnsi="Adobe Caslon Pro" w:cs="Times New Roman"/>
          <w:sz w:val="22"/>
          <w:szCs w:val="22"/>
        </w:rPr>
        <w:t xml:space="preserve"> the question of what drives longer-term change. In this case, we see the tragedy also leading to the institutionalization of stakeholder groups (especially the Dental Action Coalition) both inside and outside of government, making them an ongoing source of ideas and political pressure for change. </w:t>
      </w:r>
    </w:p>
    <w:p w14:paraId="5D7FE1B9" w14:textId="3068AEB8" w:rsidR="00517C62" w:rsidRPr="00276F8E" w:rsidRDefault="00517C62" w:rsidP="00517C62">
      <w:pPr>
        <w:rPr>
          <w:rFonts w:ascii="Adobe Caslon Pro" w:hAnsi="Adobe Caslon Pro" w:cs="Times New Roman"/>
          <w:sz w:val="22"/>
          <w:szCs w:val="22"/>
        </w:rPr>
      </w:pPr>
    </w:p>
    <w:p w14:paraId="3B039532" w14:textId="018F6B97" w:rsidR="00EA07B8" w:rsidRPr="00276F8E" w:rsidRDefault="00EA07B8" w:rsidP="00517C62">
      <w:pPr>
        <w:rPr>
          <w:rFonts w:ascii="Adobe Caslon Pro" w:hAnsi="Adobe Caslon Pro" w:cs="Times New Roman"/>
          <w:sz w:val="22"/>
          <w:szCs w:val="22"/>
        </w:rPr>
      </w:pPr>
      <w:r w:rsidRPr="00276F8E">
        <w:rPr>
          <w:rFonts w:ascii="Adobe Caslon Pro" w:hAnsi="Adobe Caslon Pro" w:cs="Times New Roman"/>
          <w:sz w:val="22"/>
          <w:szCs w:val="22"/>
        </w:rPr>
        <w:t>The case can be paired with readings on public health, administrative burden or policy change.</w:t>
      </w:r>
    </w:p>
    <w:p w14:paraId="1CD906F6" w14:textId="77777777" w:rsidR="00EA07B8" w:rsidRPr="00276F8E" w:rsidRDefault="00EA07B8" w:rsidP="00517C62">
      <w:pPr>
        <w:rPr>
          <w:rFonts w:ascii="Adobe Caslon Pro" w:hAnsi="Adobe Caslon Pro" w:cs="Times New Roman"/>
          <w:sz w:val="22"/>
          <w:szCs w:val="22"/>
        </w:rPr>
      </w:pPr>
    </w:p>
    <w:p w14:paraId="34CE783C" w14:textId="41221EBE" w:rsidR="00517C62" w:rsidRPr="00276F8E" w:rsidRDefault="007904D8" w:rsidP="00517C62">
      <w:pPr>
        <w:rPr>
          <w:rFonts w:ascii="Adobe Caslon Pro" w:hAnsi="Adobe Caslon Pro" w:cs="Times New Roman"/>
          <w:sz w:val="22"/>
          <w:szCs w:val="22"/>
        </w:rPr>
      </w:pPr>
      <w:r w:rsidRPr="00276F8E">
        <w:rPr>
          <w:rFonts w:ascii="Adobe Caslon Pro" w:hAnsi="Adobe Caslon Pro" w:cs="Times New Roman"/>
          <w:sz w:val="22"/>
          <w:szCs w:val="22"/>
        </w:rPr>
        <w:t>Potential sources to use:</w:t>
      </w:r>
    </w:p>
    <w:p w14:paraId="4E805DC9" w14:textId="36576119" w:rsidR="00E874D0" w:rsidRPr="00276F8E" w:rsidRDefault="00E874D0">
      <w:pPr>
        <w:rPr>
          <w:rFonts w:ascii="Adobe Caslon Pro" w:hAnsi="Adobe Caslon Pro" w:cs="Times New Roman"/>
          <w:sz w:val="22"/>
          <w:szCs w:val="22"/>
        </w:rPr>
      </w:pPr>
    </w:p>
    <w:p w14:paraId="374ACEB9" w14:textId="489CF42E" w:rsidR="00EA07B8" w:rsidRPr="00276F8E" w:rsidRDefault="00EA07B8" w:rsidP="00276F8E">
      <w:pPr>
        <w:pStyle w:val="ListParagraph"/>
        <w:numPr>
          <w:ilvl w:val="0"/>
          <w:numId w:val="2"/>
        </w:numPr>
        <w:rPr>
          <w:rFonts w:ascii="Adobe Caslon Pro" w:hAnsi="Adobe Caslon Pro" w:cs="Times New Roman"/>
          <w:sz w:val="22"/>
          <w:szCs w:val="22"/>
        </w:rPr>
      </w:pPr>
      <w:r w:rsidRPr="00276F8E">
        <w:rPr>
          <w:rFonts w:ascii="Adobe Caslon Pro" w:hAnsi="Adobe Caslon Pro" w:cs="Times New Roman"/>
          <w:sz w:val="22"/>
          <w:szCs w:val="22"/>
        </w:rPr>
        <w:t xml:space="preserve">Baumgartner, Frank and Bryan Jones. 2009. Agenda’s and Instability in American Politics 2nd ed. Chicago: University of Chicago Press. </w:t>
      </w:r>
    </w:p>
    <w:p w14:paraId="4F02B9E7" w14:textId="3C795CFD" w:rsidR="007904D8" w:rsidRPr="00276F8E" w:rsidRDefault="007904D8" w:rsidP="00276F8E">
      <w:pPr>
        <w:pStyle w:val="ListParagraph"/>
        <w:numPr>
          <w:ilvl w:val="0"/>
          <w:numId w:val="2"/>
        </w:numPr>
        <w:rPr>
          <w:rFonts w:ascii="Adobe Caslon Pro" w:hAnsi="Adobe Caslon Pro" w:cs="Times New Roman"/>
          <w:sz w:val="22"/>
          <w:szCs w:val="22"/>
        </w:rPr>
      </w:pPr>
      <w:r w:rsidRPr="00276F8E">
        <w:rPr>
          <w:rFonts w:ascii="Adobe Caslon Pro" w:hAnsi="Adobe Caslon Pro" w:cs="Times New Roman"/>
          <w:sz w:val="22"/>
          <w:szCs w:val="22"/>
        </w:rPr>
        <w:t xml:space="preserve">Herd, Pamela and Donald P. Moynihan. 2018. Administrative Burden: Policymaking by Other Means. New York: Russell Sage Foundation. </w:t>
      </w:r>
    </w:p>
    <w:p w14:paraId="353FAF26" w14:textId="69313BE8" w:rsidR="007904D8" w:rsidRPr="00276F8E" w:rsidRDefault="007904D8" w:rsidP="007904D8">
      <w:pPr>
        <w:pStyle w:val="ListParagraph"/>
        <w:numPr>
          <w:ilvl w:val="0"/>
          <w:numId w:val="2"/>
        </w:numPr>
        <w:rPr>
          <w:rFonts w:ascii="Adobe Caslon Pro" w:hAnsi="Adobe Caslon Pro" w:cs="Times New Roman"/>
          <w:sz w:val="22"/>
          <w:szCs w:val="22"/>
        </w:rPr>
      </w:pPr>
      <w:r w:rsidRPr="00276F8E">
        <w:rPr>
          <w:rFonts w:ascii="Adobe Caslon Pro" w:hAnsi="Adobe Caslon Pro" w:cs="Times New Roman"/>
          <w:sz w:val="22"/>
          <w:szCs w:val="22"/>
        </w:rPr>
        <w:t>Herd, Pamela and Donald P. Moynihan. 2020. “How Administrative Burdens Can Harm Health.” Health Affairs. DOI: 10.1377/hpb20200904.405159.</w:t>
      </w:r>
    </w:p>
    <w:p w14:paraId="1483DF74" w14:textId="03C8260F" w:rsidR="007904D8" w:rsidRPr="00276F8E" w:rsidRDefault="007904D8" w:rsidP="00276F8E">
      <w:pPr>
        <w:pStyle w:val="ListParagraph"/>
        <w:numPr>
          <w:ilvl w:val="0"/>
          <w:numId w:val="2"/>
        </w:numPr>
        <w:rPr>
          <w:rFonts w:ascii="Adobe Caslon Pro" w:hAnsi="Adobe Caslon Pro" w:cs="Times New Roman"/>
          <w:sz w:val="22"/>
          <w:szCs w:val="22"/>
        </w:rPr>
      </w:pPr>
      <w:proofErr w:type="spellStart"/>
      <w:r w:rsidRPr="00276F8E">
        <w:rPr>
          <w:rFonts w:ascii="Adobe Caslon Pro" w:hAnsi="Adobe Caslon Pro" w:cs="Times New Roman"/>
          <w:sz w:val="22"/>
          <w:szCs w:val="22"/>
        </w:rPr>
        <w:t>Kingdon</w:t>
      </w:r>
      <w:proofErr w:type="spellEnd"/>
      <w:r w:rsidRPr="00276F8E">
        <w:rPr>
          <w:rFonts w:ascii="Adobe Caslon Pro" w:hAnsi="Adobe Caslon Pro" w:cs="Times New Roman"/>
          <w:sz w:val="22"/>
          <w:szCs w:val="22"/>
        </w:rPr>
        <w:t xml:space="preserve">, John. </w:t>
      </w:r>
      <w:r w:rsidR="00EA07B8" w:rsidRPr="00276F8E">
        <w:rPr>
          <w:rFonts w:ascii="Adobe Caslon Pro" w:hAnsi="Adobe Caslon Pro" w:cs="Times New Roman"/>
          <w:sz w:val="22"/>
          <w:szCs w:val="22"/>
        </w:rPr>
        <w:t xml:space="preserve">2010. Agendas, Alternatives and Public Policies. 2nd Ed. Longman Classics in Political Science. </w:t>
      </w:r>
    </w:p>
    <w:p w14:paraId="511584F5" w14:textId="77777777" w:rsidR="007904D8" w:rsidRPr="00276F8E" w:rsidRDefault="007904D8">
      <w:pPr>
        <w:rPr>
          <w:rFonts w:ascii="Adobe Caslon Pro" w:hAnsi="Adobe Caslon Pro" w:cs="Times New Roman"/>
          <w:sz w:val="22"/>
          <w:szCs w:val="22"/>
        </w:rPr>
      </w:pPr>
    </w:p>
    <w:p w14:paraId="211A882D" w14:textId="77777777" w:rsidR="00276F8E" w:rsidRPr="00276F8E" w:rsidRDefault="00276F8E">
      <w:pPr>
        <w:rPr>
          <w:rFonts w:ascii="Adobe Caslon Pro" w:hAnsi="Adobe Caslon Pro" w:cs="Times New Roman"/>
          <w:sz w:val="22"/>
          <w:szCs w:val="22"/>
        </w:rPr>
      </w:pPr>
    </w:p>
    <w:sectPr w:rsidR="00276F8E" w:rsidRPr="00276F8E" w:rsidSect="00FB6543">
      <w:footerReference w:type="default" r:id="rId9"/>
      <w:footerReference w:type="first" r:id="rId10"/>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CBE3" w14:textId="77777777" w:rsidR="00CB7B5C" w:rsidRDefault="00CB7B5C" w:rsidP="00235A23">
      <w:r>
        <w:separator/>
      </w:r>
    </w:p>
  </w:endnote>
  <w:endnote w:type="continuationSeparator" w:id="0">
    <w:p w14:paraId="2030F075" w14:textId="77777777" w:rsidR="00CB7B5C" w:rsidRDefault="00CB7B5C" w:rsidP="0023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2112" w14:textId="024A99B4" w:rsidR="00276F8E" w:rsidRDefault="00276F8E">
    <w:pPr>
      <w:pStyle w:val="Footer"/>
    </w:pPr>
    <w:r>
      <w:rPr>
        <w:noProof/>
      </w:rPr>
      <mc:AlternateContent>
        <mc:Choice Requires="wps">
          <w:drawing>
            <wp:anchor distT="0" distB="0" distL="114300" distR="114300" simplePos="0" relativeHeight="251661312" behindDoc="0" locked="0" layoutInCell="1" allowOverlap="1" wp14:anchorId="02F740AC" wp14:editId="2DD92533">
              <wp:simplePos x="0" y="0"/>
              <wp:positionH relativeFrom="margin">
                <wp:align>center</wp:align>
              </wp:positionH>
              <wp:positionV relativeFrom="paragraph">
                <wp:posOffset>196850</wp:posOffset>
              </wp:positionV>
              <wp:extent cx="2895600" cy="45719"/>
              <wp:effectExtent l="0" t="0" r="0" b="0"/>
              <wp:wrapNone/>
              <wp:docPr id="2" name="Rectangle 2"/>
              <wp:cNvGraphicFramePr/>
              <a:graphic xmlns:a="http://schemas.openxmlformats.org/drawingml/2006/main">
                <a:graphicData uri="http://schemas.microsoft.com/office/word/2010/wordprocessingShape">
                  <wps:wsp>
                    <wps:cNvSpPr/>
                    <wps:spPr>
                      <a:xfrm>
                        <a:off x="0" y="0"/>
                        <a:ext cx="2895600" cy="45719"/>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6C84E" id="Rectangle 2" o:spid="_x0000_s1026" style="position:absolute;margin-left:0;margin-top:15.5pt;width:228pt;height:3.6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" fillcolor="#00b0f0"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DE2D" w14:textId="09B64B44" w:rsidR="00276F8E" w:rsidRDefault="00276F8E">
    <w:pPr>
      <w:pStyle w:val="Footer"/>
    </w:pPr>
    <w:r>
      <w:rPr>
        <w:noProof/>
      </w:rPr>
      <mc:AlternateContent>
        <mc:Choice Requires="wps">
          <w:drawing>
            <wp:anchor distT="0" distB="0" distL="114300" distR="114300" simplePos="0" relativeHeight="251659264" behindDoc="0" locked="0" layoutInCell="1" allowOverlap="1" wp14:anchorId="31723666" wp14:editId="183AA364">
              <wp:simplePos x="0" y="0"/>
              <wp:positionH relativeFrom="margin">
                <wp:align>center</wp:align>
              </wp:positionH>
              <wp:positionV relativeFrom="paragraph">
                <wp:posOffset>217805</wp:posOffset>
              </wp:positionV>
              <wp:extent cx="2895600" cy="45719"/>
              <wp:effectExtent l="0" t="0" r="0" b="0"/>
              <wp:wrapNone/>
              <wp:docPr id="1" name="Rectangle 1"/>
              <wp:cNvGraphicFramePr/>
              <a:graphic xmlns:a="http://schemas.openxmlformats.org/drawingml/2006/main">
                <a:graphicData uri="http://schemas.microsoft.com/office/word/2010/wordprocessingShape">
                  <wps:wsp>
                    <wps:cNvSpPr/>
                    <wps:spPr>
                      <a:xfrm>
                        <a:off x="0" y="0"/>
                        <a:ext cx="2895600" cy="45719"/>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75C21" id="Rectangle 1" o:spid="_x0000_s1026" style="position:absolute;margin-left:0;margin-top:17.15pt;width:228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" fillcolor="#00b0f0"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A28F" w14:textId="77777777" w:rsidR="00CB7B5C" w:rsidRDefault="00CB7B5C" w:rsidP="00235A23">
      <w:r>
        <w:separator/>
      </w:r>
    </w:p>
  </w:footnote>
  <w:footnote w:type="continuationSeparator" w:id="0">
    <w:p w14:paraId="6D8E850D" w14:textId="77777777" w:rsidR="00CB7B5C" w:rsidRDefault="00CB7B5C" w:rsidP="00235A23">
      <w:r>
        <w:continuationSeparator/>
      </w:r>
    </w:p>
  </w:footnote>
  <w:footnote w:id="1">
    <w:p w14:paraId="62603C7D" w14:textId="70CEA2EB" w:rsidR="00FB6543" w:rsidRPr="00276F8E" w:rsidRDefault="00FB6543">
      <w:pPr>
        <w:pStyle w:val="FootnoteText"/>
        <w:rPr>
          <w:rFonts w:ascii="Adobe Caslon Pro" w:hAnsi="Adobe Caslon Pro" w:cs="Times New Roman"/>
        </w:rPr>
      </w:pPr>
      <w:r w:rsidRPr="00276F8E">
        <w:rPr>
          <w:rStyle w:val="FootnoteReference"/>
          <w:rFonts w:ascii="Adobe Caslon Pro" w:hAnsi="Adobe Caslon Pro"/>
        </w:rPr>
        <w:footnoteRef/>
      </w:r>
      <w:r w:rsidRPr="00276F8E">
        <w:rPr>
          <w:rFonts w:ascii="Adobe Caslon Pro" w:hAnsi="Adobe Caslon Pro" w:cs="Times New Roman"/>
        </w:rPr>
        <w:t xml:space="preserve">This </w:t>
      </w:r>
      <w:r w:rsidR="00FE3C20" w:rsidRPr="00276F8E">
        <w:rPr>
          <w:rFonts w:ascii="Adobe Caslon Pro" w:hAnsi="Adobe Caslon Pro" w:cs="Times New Roman"/>
        </w:rPr>
        <w:t xml:space="preserve">teaching note is for a case </w:t>
      </w:r>
      <w:r w:rsidRPr="00276F8E">
        <w:rPr>
          <w:rFonts w:ascii="Adobe Caslon Pro" w:hAnsi="Adobe Caslon Pro" w:cs="Times New Roman"/>
        </w:rPr>
        <w:t xml:space="preserve">prepared by Caroline Adams and Donald Moynihan, of the Better Government Lab at the McCourt School of Public Policy, Georgetown University. The case was supported by funding from the </w:t>
      </w:r>
      <w:r w:rsidRPr="00276F8E">
        <w:rPr>
          <w:rFonts w:ascii="Adobe Caslon Pro" w:hAnsi="Adobe Caslon Pro" w:cs="Times New Roman"/>
          <w:shd w:val="clear" w:color="auto" w:fill="FFFFFF"/>
        </w:rPr>
        <w:t>George E. Richmond Foundation to examine barriers to oral health care for families using Medicaid.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083F"/>
    <w:multiLevelType w:val="hybridMultilevel"/>
    <w:tmpl w:val="FAE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936A5"/>
    <w:multiLevelType w:val="hybridMultilevel"/>
    <w:tmpl w:val="0894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016084">
    <w:abstractNumId w:val="0"/>
  </w:num>
  <w:num w:numId="2" w16cid:durableId="924146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D0"/>
    <w:rsid w:val="00076032"/>
    <w:rsid w:val="00235A23"/>
    <w:rsid w:val="00276F8E"/>
    <w:rsid w:val="003158F3"/>
    <w:rsid w:val="003E5EA6"/>
    <w:rsid w:val="004A082B"/>
    <w:rsid w:val="00517C62"/>
    <w:rsid w:val="006A7935"/>
    <w:rsid w:val="007123C3"/>
    <w:rsid w:val="00747B2D"/>
    <w:rsid w:val="007904D8"/>
    <w:rsid w:val="008027CE"/>
    <w:rsid w:val="00962326"/>
    <w:rsid w:val="00B5192F"/>
    <w:rsid w:val="00B564B4"/>
    <w:rsid w:val="00B86C0D"/>
    <w:rsid w:val="00CB7B5C"/>
    <w:rsid w:val="00D808B8"/>
    <w:rsid w:val="00D81ED7"/>
    <w:rsid w:val="00D851A8"/>
    <w:rsid w:val="00DC0EC8"/>
    <w:rsid w:val="00E874D0"/>
    <w:rsid w:val="00EA07B8"/>
    <w:rsid w:val="00F57147"/>
    <w:rsid w:val="00FB6543"/>
    <w:rsid w:val="00FE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2F59"/>
  <w15:chartTrackingRefBased/>
  <w15:docId w15:val="{318C1CF7-2301-2B4D-B065-2CEA2AD4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D0"/>
  </w:style>
  <w:style w:type="paragraph" w:styleId="Heading1">
    <w:name w:val="heading 1"/>
    <w:basedOn w:val="Normal"/>
    <w:next w:val="Normal"/>
    <w:link w:val="Heading1Char"/>
    <w:uiPriority w:val="9"/>
    <w:qFormat/>
    <w:rsid w:val="00235A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23"/>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35A23"/>
    <w:rPr>
      <w:sz w:val="20"/>
      <w:szCs w:val="20"/>
    </w:rPr>
  </w:style>
  <w:style w:type="character" w:customStyle="1" w:styleId="FootnoteTextChar">
    <w:name w:val="Footnote Text Char"/>
    <w:basedOn w:val="DefaultParagraphFont"/>
    <w:link w:val="FootnoteText"/>
    <w:uiPriority w:val="99"/>
    <w:semiHidden/>
    <w:rsid w:val="00235A23"/>
    <w:rPr>
      <w:sz w:val="20"/>
      <w:szCs w:val="20"/>
    </w:rPr>
  </w:style>
  <w:style w:type="character" w:styleId="FootnoteReference">
    <w:name w:val="footnote reference"/>
    <w:basedOn w:val="DefaultParagraphFont"/>
    <w:uiPriority w:val="99"/>
    <w:semiHidden/>
    <w:unhideWhenUsed/>
    <w:rsid w:val="00235A23"/>
    <w:rPr>
      <w:vertAlign w:val="superscript"/>
    </w:rPr>
  </w:style>
  <w:style w:type="paragraph" w:styleId="ListParagraph">
    <w:name w:val="List Paragraph"/>
    <w:basedOn w:val="Normal"/>
    <w:uiPriority w:val="34"/>
    <w:qFormat/>
    <w:rsid w:val="00D81ED7"/>
    <w:pPr>
      <w:ind w:left="720"/>
      <w:contextualSpacing/>
    </w:pPr>
  </w:style>
  <w:style w:type="paragraph" w:styleId="Revision">
    <w:name w:val="Revision"/>
    <w:hidden/>
    <w:uiPriority w:val="99"/>
    <w:semiHidden/>
    <w:rsid w:val="00076032"/>
  </w:style>
  <w:style w:type="character" w:styleId="CommentReference">
    <w:name w:val="annotation reference"/>
    <w:basedOn w:val="DefaultParagraphFont"/>
    <w:uiPriority w:val="99"/>
    <w:semiHidden/>
    <w:unhideWhenUsed/>
    <w:rsid w:val="00B564B4"/>
    <w:rPr>
      <w:sz w:val="16"/>
      <w:szCs w:val="16"/>
    </w:rPr>
  </w:style>
  <w:style w:type="paragraph" w:styleId="CommentText">
    <w:name w:val="annotation text"/>
    <w:basedOn w:val="Normal"/>
    <w:link w:val="CommentTextChar"/>
    <w:uiPriority w:val="99"/>
    <w:semiHidden/>
    <w:unhideWhenUsed/>
    <w:rsid w:val="00B564B4"/>
    <w:rPr>
      <w:sz w:val="20"/>
      <w:szCs w:val="20"/>
    </w:rPr>
  </w:style>
  <w:style w:type="character" w:customStyle="1" w:styleId="CommentTextChar">
    <w:name w:val="Comment Text Char"/>
    <w:basedOn w:val="DefaultParagraphFont"/>
    <w:link w:val="CommentText"/>
    <w:uiPriority w:val="99"/>
    <w:semiHidden/>
    <w:rsid w:val="00B564B4"/>
    <w:rPr>
      <w:sz w:val="20"/>
      <w:szCs w:val="20"/>
    </w:rPr>
  </w:style>
  <w:style w:type="paragraph" w:styleId="CommentSubject">
    <w:name w:val="annotation subject"/>
    <w:basedOn w:val="CommentText"/>
    <w:next w:val="CommentText"/>
    <w:link w:val="CommentSubjectChar"/>
    <w:uiPriority w:val="99"/>
    <w:semiHidden/>
    <w:unhideWhenUsed/>
    <w:rsid w:val="00B564B4"/>
    <w:rPr>
      <w:b/>
      <w:bCs/>
    </w:rPr>
  </w:style>
  <w:style w:type="character" w:customStyle="1" w:styleId="CommentSubjectChar">
    <w:name w:val="Comment Subject Char"/>
    <w:basedOn w:val="CommentTextChar"/>
    <w:link w:val="CommentSubject"/>
    <w:uiPriority w:val="99"/>
    <w:semiHidden/>
    <w:rsid w:val="00B564B4"/>
    <w:rPr>
      <w:b/>
      <w:bCs/>
      <w:sz w:val="20"/>
      <w:szCs w:val="20"/>
    </w:rPr>
  </w:style>
  <w:style w:type="paragraph" w:styleId="Header">
    <w:name w:val="header"/>
    <w:basedOn w:val="Normal"/>
    <w:link w:val="HeaderChar"/>
    <w:uiPriority w:val="99"/>
    <w:unhideWhenUsed/>
    <w:rsid w:val="00FB6543"/>
    <w:pPr>
      <w:tabs>
        <w:tab w:val="center" w:pos="4680"/>
        <w:tab w:val="right" w:pos="9360"/>
      </w:tabs>
    </w:pPr>
  </w:style>
  <w:style w:type="character" w:customStyle="1" w:styleId="HeaderChar">
    <w:name w:val="Header Char"/>
    <w:basedOn w:val="DefaultParagraphFont"/>
    <w:link w:val="Header"/>
    <w:uiPriority w:val="99"/>
    <w:rsid w:val="00FB6543"/>
  </w:style>
  <w:style w:type="paragraph" w:styleId="Footer">
    <w:name w:val="footer"/>
    <w:basedOn w:val="Normal"/>
    <w:link w:val="FooterChar"/>
    <w:uiPriority w:val="99"/>
    <w:unhideWhenUsed/>
    <w:rsid w:val="00FB6543"/>
    <w:pPr>
      <w:tabs>
        <w:tab w:val="center" w:pos="4680"/>
        <w:tab w:val="right" w:pos="9360"/>
      </w:tabs>
    </w:pPr>
  </w:style>
  <w:style w:type="character" w:customStyle="1" w:styleId="FooterChar">
    <w:name w:val="Footer Char"/>
    <w:basedOn w:val="DefaultParagraphFont"/>
    <w:link w:val="Footer"/>
    <w:uiPriority w:val="99"/>
    <w:rsid w:val="00FB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F9F3-6DD9-AE45-8477-06DF4192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 Tellakat</cp:lastModifiedBy>
  <cp:revision>2</cp:revision>
  <dcterms:created xsi:type="dcterms:W3CDTF">2023-01-03T18:37:00Z</dcterms:created>
  <dcterms:modified xsi:type="dcterms:W3CDTF">2023-01-03T18:37:00Z</dcterms:modified>
</cp:coreProperties>
</file>